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2870F3" w:rsidRDefault="002870F3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0F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3C5C1D" w:rsidRDefault="0037681A" w:rsidP="003C5C1D">
      <w:pPr>
        <w:autoSpaceDE w:val="0"/>
        <w:autoSpaceDN w:val="0"/>
        <w:adjustRightInd w:val="0"/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FD79B4">
        <w:rPr>
          <w:rFonts w:ascii="Times New Roman" w:hAnsi="Times New Roman" w:cs="Times New Roman"/>
          <w:b/>
          <w:sz w:val="28"/>
          <w:szCs w:val="28"/>
        </w:rPr>
        <w:t xml:space="preserve">е Собрания представителей сельского поселения </w:t>
      </w:r>
      <w:proofErr w:type="spellStart"/>
      <w:r w:rsidR="00FD79B4">
        <w:rPr>
          <w:rFonts w:ascii="Times New Roman" w:hAnsi="Times New Roman" w:cs="Times New Roman"/>
          <w:b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D79B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FD79B4">
        <w:rPr>
          <w:rFonts w:ascii="Times New Roman" w:hAnsi="Times New Roman" w:cs="Times New Roman"/>
          <w:b/>
          <w:sz w:val="28"/>
          <w:szCs w:val="28"/>
        </w:rPr>
        <w:t>Воротнее</w:t>
      </w:r>
      <w:proofErr w:type="spellEnd"/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</w:t>
      </w:r>
      <w:proofErr w:type="spellStart"/>
      <w:r w:rsidR="006F3348" w:rsidRPr="006F3348">
        <w:rPr>
          <w:rFonts w:ascii="Times New Roman" w:hAnsi="Times New Roman" w:cs="Times New Roman"/>
          <w:b/>
          <w:sz w:val="28"/>
          <w:szCs w:val="28"/>
        </w:rPr>
        <w:t>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spellEnd"/>
    </w:p>
    <w:p w:rsidR="00E67DE0" w:rsidRDefault="006F3348" w:rsidP="00E67DE0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D79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79B4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FD79B4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D79B4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proofErr w:type="gramEnd"/>
    </w:p>
    <w:p w:rsidR="00997CA8" w:rsidRDefault="002870F3" w:rsidP="00997CA8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0F3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2870F3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997CA8" w:rsidRDefault="00997CA8" w:rsidP="00997CA8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348" w:rsidRPr="00997CA8" w:rsidRDefault="006F3348" w:rsidP="00997CA8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Р</w:t>
      </w:r>
      <w:r w:rsidR="0037681A" w:rsidRPr="00997CA8">
        <w:rPr>
          <w:rFonts w:ascii="Times New Roman" w:hAnsi="Times New Roman" w:cs="Times New Roman"/>
          <w:sz w:val="28"/>
          <w:szCs w:val="28"/>
        </w:rPr>
        <w:t>ЕШИЛО</w:t>
      </w:r>
      <w:r w:rsidRPr="00997CA8">
        <w:rPr>
          <w:rFonts w:ascii="Times New Roman" w:hAnsi="Times New Roman" w:cs="Times New Roman"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FD79B4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</w:t>
      </w:r>
      <w:proofErr w:type="spellStart"/>
      <w:r w:rsidR="00FD79B4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37681A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«Об утверждении правил бла</w:t>
      </w:r>
      <w:r w:rsidR="00FD79B4">
        <w:rPr>
          <w:rFonts w:ascii="Times New Roman" w:hAnsi="Times New Roman" w:cs="Times New Roman"/>
          <w:sz w:val="28"/>
          <w:szCs w:val="28"/>
        </w:rPr>
        <w:t xml:space="preserve">гоустройства территории сельского поселения </w:t>
      </w:r>
      <w:proofErr w:type="spellStart"/>
      <w:r w:rsidR="00FD79B4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997CA8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</w:t>
      </w:r>
      <w:r w:rsidRPr="00997CA8">
        <w:rPr>
          <w:rFonts w:ascii="Times New Roman" w:hAnsi="Times New Roman" w:cs="Times New Roman"/>
          <w:sz w:val="28"/>
          <w:szCs w:val="28"/>
        </w:rPr>
        <w:t>прилегающей территории по отношению к зданию</w:t>
      </w:r>
      <w:proofErr w:type="gramEnd"/>
      <w:r w:rsidRPr="00997CA8">
        <w:rPr>
          <w:rFonts w:ascii="Times New Roman" w:hAnsi="Times New Roman" w:cs="Times New Roman"/>
          <w:sz w:val="28"/>
          <w:szCs w:val="28"/>
        </w:rPr>
        <w:t>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 от здания, строения, сооружения, земельного участка или ограждения.</w:t>
      </w:r>
    </w:p>
    <w:p w:rsidR="0057232F" w:rsidRPr="00997CA8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997CA8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997CA8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997CA8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997CA8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997CA8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997CA8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997CA8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997CA8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997CA8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997CA8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997CA8">
        <w:rPr>
          <w:rFonts w:ascii="Times New Roman" w:hAnsi="Times New Roman" w:cs="Times New Roman"/>
          <w:sz w:val="28"/>
          <w:szCs w:val="28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997CA8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997CA8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997CA8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997CA8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997CA8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997CA8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997CA8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997CA8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997CA8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на территориях жилых зон - 15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на территории общего пользования - 10 метров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на территориях производственных зон - 5 метров по периметру;</w:t>
      </w:r>
    </w:p>
    <w:p w:rsidR="0057232F" w:rsidRPr="00997CA8" w:rsidRDefault="00997CA8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- </w:t>
      </w:r>
      <w:r w:rsidR="0057232F" w:rsidRPr="00997CA8">
        <w:rPr>
          <w:rFonts w:ascii="Times New Roman" w:hAnsi="Times New Roman" w:cs="Times New Roman"/>
          <w:sz w:val="28"/>
          <w:szCs w:val="28"/>
        </w:rPr>
        <w:t xml:space="preserve">на остановочных площадках общественного транспорта - 10 метров по периметру. 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на прочих территориях - 5 метров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объектов потребительского рынка - 10 метров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997CA8">
        <w:rPr>
          <w:rFonts w:ascii="Times New Roman" w:hAnsi="Times New Roman" w:cs="Times New Roman"/>
          <w:sz w:val="28"/>
          <w:szCs w:val="28"/>
        </w:rPr>
        <w:t>10 метров по периметру</w:t>
      </w:r>
      <w:bookmarkEnd w:id="14"/>
      <w:r w:rsidRPr="00997CA8">
        <w:rPr>
          <w:rFonts w:ascii="Times New Roman" w:hAnsi="Times New Roman" w:cs="Times New Roman"/>
          <w:sz w:val="28"/>
          <w:szCs w:val="28"/>
        </w:rPr>
        <w:t>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4) для индивидуальных жилых домов, не имеющих ограждающих устройств - 10 метров по периметру, а при наличии ограждения - 10 метров от ограждения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lastRenderedPageBreak/>
        <w:t xml:space="preserve">5) для нежилых зданий, </w:t>
      </w:r>
      <w:bookmarkStart w:id="15" w:name="_Hlk6905680"/>
      <w:r w:rsidRPr="00997CA8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997CA8">
        <w:rPr>
          <w:rFonts w:ascii="Times New Roman" w:hAnsi="Times New Roman" w:cs="Times New Roman"/>
          <w:sz w:val="28"/>
          <w:szCs w:val="28"/>
        </w:rPr>
        <w:t>- 10 метров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997CA8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периметру, </w:t>
      </w:r>
      <w:bookmarkStart w:id="17" w:name="_Hlk6905738"/>
      <w:r w:rsidRPr="00997CA8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16"/>
      <w:bookmarkEnd w:id="17"/>
      <w:r w:rsidRPr="00997CA8">
        <w:rPr>
          <w:rFonts w:ascii="Times New Roman" w:hAnsi="Times New Roman" w:cs="Times New Roman"/>
          <w:sz w:val="28"/>
          <w:szCs w:val="28"/>
        </w:rPr>
        <w:t>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подстанций, зданий и сооружений инженерно-технического назначения (мачт, опор ЛЭП, опор освещения) на территориях общего пользования - 5 метров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997CA8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997CA8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и подъезды к объектам;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территории, прилегающие к наземным, надземным инженерным коммуникациям и сооружениям - по 5 метров в каждую сторону;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- 5 метров по периметру (радиусу) основания;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14) для общеобразовательных организаций, не имеющих ограждающих устройств - 5 метров по периметру, а при наличии ограждения - 5 метров от ограждения по периметру;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- 5 метров по периметру, а при наличии ограждения - 5 метров от ограждения по периметру.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lastRenderedPageBreak/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997CA8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997CA8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997CA8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997CA8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997CA8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997CA8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1.2. Пункт 17.2.6 статьи 17.2 </w:t>
      </w:r>
      <w:r w:rsidRPr="00997C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Pr="00997CA8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«17.2.6. На территории общего пользования поселения запрещено  сжигание отходов производства и потребления, ТКО, мусора, листвы, травы и стройматериалов.</w:t>
      </w:r>
    </w:p>
    <w:p w:rsidR="00C049D3" w:rsidRPr="00997CA8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lastRenderedPageBreak/>
        <w:t>При благоустройстве прилегающей территории также запрещается смет мусора и сгребание снега на проезжую часть дороги».</w:t>
      </w:r>
    </w:p>
    <w:p w:rsidR="00DD24DA" w:rsidRPr="00997CA8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997C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97CA8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«</w:t>
      </w:r>
      <w:r w:rsidR="00DD24DA" w:rsidRPr="00997CA8">
        <w:rPr>
          <w:rFonts w:ascii="Times New Roman" w:hAnsi="Times New Roman" w:cs="Times New Roman"/>
          <w:sz w:val="28"/>
          <w:szCs w:val="28"/>
        </w:rPr>
        <w:t xml:space="preserve">17.2.27. </w:t>
      </w:r>
      <w:proofErr w:type="gramStart"/>
      <w:r w:rsidR="00DD24DA" w:rsidRPr="00997CA8">
        <w:rPr>
          <w:rFonts w:ascii="Times New Roman" w:hAnsi="Times New Roman" w:cs="Times New Roman"/>
          <w:sz w:val="28"/>
          <w:szCs w:val="28"/>
        </w:rPr>
        <w:t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997CA8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97CA8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DD24DA" w:rsidRPr="00997CA8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997CA8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CA8">
        <w:rPr>
          <w:rFonts w:ascii="Times New Roman" w:hAnsi="Times New Roman" w:cs="Times New Roman"/>
          <w:sz w:val="28"/>
          <w:szCs w:val="28"/>
        </w:rPr>
        <w:t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proofErr w:type="gramEnd"/>
    </w:p>
    <w:p w:rsidR="00DD24DA" w:rsidRPr="00997CA8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997CA8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 w:rsidRPr="00997CA8">
        <w:rPr>
          <w:rFonts w:ascii="Times New Roman" w:hAnsi="Times New Roman" w:cs="Times New Roman"/>
          <w:sz w:val="28"/>
          <w:szCs w:val="28"/>
        </w:rPr>
        <w:t>.</w:t>
      </w:r>
    </w:p>
    <w:p w:rsidR="00F41BB6" w:rsidRPr="00997CA8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997CA8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997CA8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997CA8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997CA8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997CA8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997CA8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997CA8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997CA8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 w:rsidRPr="00997CA8">
        <w:rPr>
          <w:rFonts w:ascii="Times New Roman" w:hAnsi="Times New Roman" w:cs="Times New Roman"/>
          <w:sz w:val="28"/>
          <w:szCs w:val="28"/>
        </w:rPr>
        <w:t>»</w:t>
      </w:r>
      <w:r w:rsidR="00DD24DA" w:rsidRPr="00997CA8">
        <w:rPr>
          <w:rFonts w:ascii="Times New Roman" w:hAnsi="Times New Roman" w:cs="Times New Roman"/>
          <w:sz w:val="28"/>
          <w:szCs w:val="28"/>
        </w:rPr>
        <w:t>.</w:t>
      </w:r>
      <w:r w:rsidR="00D34E9B" w:rsidRPr="0099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Pr="00997CA8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2</w:t>
      </w:r>
      <w:r w:rsidR="00A61980" w:rsidRPr="00997CA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«Сергиевский вестник».</w:t>
      </w:r>
    </w:p>
    <w:p w:rsidR="006F3348" w:rsidRPr="00997CA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980" w:rsidRPr="00997CA8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997CA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Pr="00997CA8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Pr="00997CA8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997CA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997CA8" w:rsidRDefault="00FD79B4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>сельского</w:t>
      </w:r>
      <w:r w:rsidR="006F3348" w:rsidRPr="00997CA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97CA8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</w:p>
    <w:p w:rsidR="006F3348" w:rsidRPr="00997CA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62AEB" w:rsidRPr="00997C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9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9B4" w:rsidRPr="00997CA8">
        <w:rPr>
          <w:rFonts w:ascii="Times New Roman" w:hAnsi="Times New Roman" w:cs="Times New Roman"/>
          <w:sz w:val="28"/>
          <w:szCs w:val="28"/>
        </w:rPr>
        <w:t>Т.А.Мамыкина</w:t>
      </w:r>
      <w:proofErr w:type="spellEnd"/>
    </w:p>
    <w:p w:rsidR="007F2C5B" w:rsidRPr="00997CA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997CA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79B4" w:rsidRPr="00997CA8">
        <w:rPr>
          <w:rFonts w:ascii="Times New Roman" w:hAnsi="Times New Roman" w:cs="Times New Roman"/>
          <w:sz w:val="28"/>
          <w:szCs w:val="28"/>
        </w:rPr>
        <w:t>сельского</w:t>
      </w:r>
      <w:r w:rsidRPr="00997CA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D79B4" w:rsidRPr="00997CA8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CA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bookmarkStart w:id="19" w:name="_GoBack"/>
      <w:bookmarkEnd w:id="19"/>
      <w:r w:rsidRPr="006F33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FD79B4">
        <w:rPr>
          <w:rFonts w:ascii="Times New Roman" w:hAnsi="Times New Roman" w:cs="Times New Roman"/>
          <w:sz w:val="28"/>
          <w:szCs w:val="28"/>
        </w:rPr>
        <w:t>С.А.Никитин</w:t>
      </w:r>
      <w:proofErr w:type="spellEnd"/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870F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C5C1D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97CA8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67DE0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D79B4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296B-5177-4D41-A6A3-D6365CC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2023-10-03T12:11:00Z</cp:lastPrinted>
  <dcterms:created xsi:type="dcterms:W3CDTF">2023-08-07T13:10:00Z</dcterms:created>
  <dcterms:modified xsi:type="dcterms:W3CDTF">2025-08-19T11:23:00Z</dcterms:modified>
</cp:coreProperties>
</file>